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jc w:val="center"/>
        <w:tblCellSpacing w:w="0" w:type="dxa"/>
        <w:tblBorders>
          <w:top w:val="outset" w:sz="12" w:space="0" w:color="468325"/>
          <w:left w:val="outset" w:sz="12" w:space="0" w:color="468325"/>
          <w:bottom w:val="outset" w:sz="12" w:space="0" w:color="468325"/>
          <w:right w:val="outset" w:sz="12" w:space="0" w:color="468325"/>
        </w:tblBorders>
        <w:shd w:val="clear" w:color="auto" w:fill="FFFFFF"/>
        <w:tblCellMar>
          <w:left w:w="0" w:type="dxa"/>
          <w:right w:w="0" w:type="dxa"/>
        </w:tblCellMar>
        <w:tblLook w:val="04A0" w:firstRow="1" w:lastRow="0" w:firstColumn="1" w:lastColumn="0" w:noHBand="0" w:noVBand="1"/>
      </w:tblPr>
      <w:tblGrid>
        <w:gridCol w:w="4119"/>
        <w:gridCol w:w="3814"/>
        <w:gridCol w:w="2613"/>
        <w:gridCol w:w="2834"/>
      </w:tblGrid>
      <w:tr w:rsidR="007038AA" w:rsidTr="007038AA">
        <w:trPr>
          <w:trHeight w:val="1485"/>
          <w:tblCellSpacing w:w="0" w:type="dxa"/>
          <w:jc w:val="center"/>
        </w:trPr>
        <w:tc>
          <w:tcPr>
            <w:tcW w:w="4545" w:type="dxa"/>
            <w:tcBorders>
              <w:top w:val="outset" w:sz="8" w:space="0" w:color="FFFFFF"/>
              <w:left w:val="single" w:sz="8" w:space="0" w:color="auto"/>
              <w:bottom w:val="outset" w:sz="8" w:space="0" w:color="FFFFFF"/>
              <w:right w:val="single" w:sz="8" w:space="0" w:color="auto"/>
            </w:tcBorders>
            <w:shd w:val="clear" w:color="auto" w:fill="FFFFFF"/>
            <w:vAlign w:val="center"/>
            <w:hideMark/>
          </w:tcPr>
          <w:p w:rsidR="007038AA" w:rsidRDefault="007038AA">
            <w:pPr>
              <w:pStyle w:val="NormalWeb"/>
              <w:jc w:val="center"/>
            </w:pPr>
            <w:r>
              <w:rPr>
                <w:noProof/>
              </w:rPr>
              <w:drawing>
                <wp:inline distT="0" distB="0" distL="0" distR="0" wp14:anchorId="2CA2F0C1" wp14:editId="01FADB95">
                  <wp:extent cx="1905000" cy="1000125"/>
                  <wp:effectExtent l="0" t="0" r="0" b="9525"/>
                  <wp:docPr id="8" name="Picture 8" descr="http://www.gadoe.org/External-Affairs-and-Policy/communications/PublishingImages/EducatingGeoC81a-A06aT05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doe.org/External-Affairs-and-Policy/communications/PublishingImages/EducatingGeoC81a-A06aT05a-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000125"/>
                          </a:xfrm>
                          <a:prstGeom prst="rect">
                            <a:avLst/>
                          </a:prstGeom>
                          <a:noFill/>
                          <a:ln>
                            <a:noFill/>
                          </a:ln>
                        </pic:spPr>
                      </pic:pic>
                    </a:graphicData>
                  </a:graphic>
                </wp:inline>
              </w:drawing>
            </w:r>
          </w:p>
        </w:tc>
        <w:tc>
          <w:tcPr>
            <w:tcW w:w="4815" w:type="dxa"/>
            <w:tcBorders>
              <w:top w:val="outset" w:sz="8" w:space="0" w:color="FFFFFF"/>
              <w:left w:val="single" w:sz="8" w:space="0" w:color="auto"/>
              <w:bottom w:val="outset" w:sz="8" w:space="0" w:color="FFFFFF"/>
              <w:right w:val="single" w:sz="8" w:space="0" w:color="auto"/>
            </w:tcBorders>
            <w:shd w:val="clear" w:color="auto" w:fill="FFFFFF"/>
            <w:vAlign w:val="center"/>
            <w:hideMark/>
          </w:tcPr>
          <w:p w:rsidR="007038AA" w:rsidRDefault="007038AA">
            <w:pPr>
              <w:jc w:val="center"/>
            </w:pPr>
            <w:r>
              <w:rPr>
                <w:rFonts w:ascii="Calibri" w:hAnsi="Calibri"/>
                <w:b/>
                <w:bCs/>
                <w:color w:val="F26300"/>
                <w:sz w:val="48"/>
                <w:szCs w:val="48"/>
              </w:rPr>
              <w:t>SLDS News</w:t>
            </w:r>
            <w:r>
              <w:rPr>
                <w:rFonts w:ascii="Calibri" w:hAnsi="Calibri"/>
                <w:b/>
                <w:bCs/>
                <w:sz w:val="36"/>
                <w:szCs w:val="36"/>
              </w:rPr>
              <w:t xml:space="preserve"> </w:t>
            </w:r>
            <w:r>
              <w:rPr>
                <w:rFonts w:ascii="Calibri" w:hAnsi="Calibri"/>
                <w:b/>
                <w:bCs/>
                <w:color w:val="DF5437"/>
                <w:sz w:val="15"/>
                <w:szCs w:val="15"/>
              </w:rPr>
              <w:br/>
            </w:r>
            <w:r>
              <w:rPr>
                <w:rFonts w:ascii="Calibri" w:hAnsi="Calibri"/>
                <w:b/>
                <w:bCs/>
                <w:color w:val="DF5437"/>
                <w:sz w:val="15"/>
                <w:szCs w:val="15"/>
              </w:rPr>
              <w:br/>
            </w:r>
            <w:r>
              <w:rPr>
                <w:rFonts w:ascii="Calibri" w:hAnsi="Calibri"/>
                <w:b/>
                <w:bCs/>
                <w:sz w:val="27"/>
                <w:szCs w:val="27"/>
              </w:rPr>
              <w:t> </w:t>
            </w:r>
            <w:r>
              <w:rPr>
                <w:rFonts w:ascii="Calibri" w:hAnsi="Calibri"/>
                <w:b/>
                <w:bCs/>
                <w:color w:val="F26300"/>
                <w:sz w:val="27"/>
                <w:szCs w:val="27"/>
              </w:rPr>
              <w:t>2014-2015 Milestones</w:t>
            </w:r>
          </w:p>
          <w:p w:rsidR="007038AA" w:rsidRDefault="007038AA">
            <w:pPr>
              <w:jc w:val="center"/>
            </w:pPr>
            <w:r>
              <w:rPr>
                <w:rFonts w:ascii="Calibri" w:hAnsi="Calibri"/>
                <w:b/>
                <w:bCs/>
                <w:color w:val="F26300"/>
                <w:sz w:val="27"/>
                <w:szCs w:val="27"/>
              </w:rPr>
              <w:t>EOG &amp; EOC</w:t>
            </w:r>
          </w:p>
        </w:tc>
        <w:tc>
          <w:tcPr>
            <w:tcW w:w="3120" w:type="dxa"/>
            <w:tcBorders>
              <w:top w:val="outset" w:sz="8" w:space="0" w:color="FFFFFF"/>
              <w:left w:val="single" w:sz="8" w:space="0" w:color="auto"/>
              <w:bottom w:val="outset" w:sz="8" w:space="0" w:color="FFFFFF"/>
              <w:right w:val="single" w:sz="8" w:space="0" w:color="auto"/>
            </w:tcBorders>
            <w:shd w:val="clear" w:color="auto" w:fill="FFFFFF"/>
            <w:vAlign w:val="center"/>
            <w:hideMark/>
          </w:tcPr>
          <w:p w:rsidR="007038AA" w:rsidRDefault="007038AA">
            <w:pPr>
              <w:jc w:val="center"/>
            </w:pPr>
            <w:r>
              <w:rPr>
                <w:rFonts w:ascii="Calibri" w:hAnsi="Calibri"/>
                <w:noProof/>
              </w:rPr>
              <w:drawing>
                <wp:inline distT="0" distB="0" distL="0" distR="0" wp14:anchorId="0FC690D7" wp14:editId="4FAF33F1">
                  <wp:extent cx="809625" cy="685800"/>
                  <wp:effectExtent l="0" t="0" r="9525" b="0"/>
                  <wp:docPr id="7" name="Picture 7" descr="http://www.gadoe.org/Technology-Services/SLDS/PublishingImages/SLD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doe.org/Technology-Services/SLDS/PublishingImages/SLDS_Logo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r>
              <w:rPr>
                <w:rFonts w:ascii="Calibri" w:hAnsi="Calibri"/>
              </w:rPr>
              <w:br/>
            </w:r>
            <w:r>
              <w:rPr>
                <w:rFonts w:ascii="Calibri" w:hAnsi="Calibri"/>
                <w:noProof/>
                <w:color w:val="0066CC"/>
              </w:rPr>
              <w:drawing>
                <wp:inline distT="0" distB="0" distL="0" distR="0" wp14:anchorId="0F687900" wp14:editId="35F69D50">
                  <wp:extent cx="209550" cy="209550"/>
                  <wp:effectExtent l="0" t="0" r="0" b="0"/>
                  <wp:docPr id="6" name="Picture 6" descr="GaDOE on Facebook">
                    <a:hlinkClick xmlns:a="http://schemas.openxmlformats.org/drawingml/2006/main" r:id="rId7" tgtFrame="_blank" tooltip="Like SLDS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OE on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alibri" w:hAnsi="Calibri"/>
                <w:noProof/>
                <w:color w:val="0066CC"/>
              </w:rPr>
              <w:drawing>
                <wp:inline distT="0" distB="0" distL="0" distR="0" wp14:anchorId="50FDD543" wp14:editId="34EB44F5">
                  <wp:extent cx="209550" cy="209550"/>
                  <wp:effectExtent l="0" t="0" r="0" b="0"/>
                  <wp:docPr id="5" name="Picture 5" descr="GaDOE on Twitter">
                    <a:hlinkClick xmlns:a="http://schemas.openxmlformats.org/drawingml/2006/main" r:id="rId9" tgtFrame="_blank" tooltip="Follow SLDS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DOE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895" w:type="dxa"/>
            <w:tcBorders>
              <w:top w:val="outset" w:sz="8" w:space="0" w:color="FFFFFF"/>
              <w:left w:val="single" w:sz="8" w:space="0" w:color="auto"/>
              <w:bottom w:val="outset" w:sz="8" w:space="0" w:color="FFFFFF"/>
              <w:right w:val="single" w:sz="8" w:space="0" w:color="auto"/>
            </w:tcBorders>
            <w:shd w:val="clear" w:color="auto" w:fill="FFFFFF"/>
            <w:vAlign w:val="center"/>
            <w:hideMark/>
          </w:tcPr>
          <w:p w:rsidR="007038AA" w:rsidRDefault="007038AA">
            <w:pPr>
              <w:jc w:val="center"/>
            </w:pPr>
            <w:r>
              <w:rPr>
                <w:rFonts w:ascii="Minion Pro" w:hAnsi="Minion Pro"/>
                <w:b/>
                <w:bCs/>
                <w:color w:val="468325"/>
                <w:sz w:val="20"/>
                <w:szCs w:val="20"/>
              </w:rPr>
              <w:t>SLDS was built for you,</w:t>
            </w:r>
            <w:r>
              <w:rPr>
                <w:rFonts w:ascii="Calibri" w:hAnsi="Calibri"/>
                <w:sz w:val="20"/>
                <w:szCs w:val="20"/>
              </w:rPr>
              <w:t xml:space="preserve"> </w:t>
            </w:r>
            <w:hyperlink r:id="rId11" w:tgtFrame="_blank" w:tooltip="Click here to send SLDS Feedback" w:history="1">
              <w:r>
                <w:rPr>
                  <w:rFonts w:ascii="Calibri" w:hAnsi="Calibri"/>
                  <w:noProof/>
                  <w:color w:val="0066CC"/>
                  <w:sz w:val="20"/>
                  <w:szCs w:val="20"/>
                </w:rPr>
                <w:drawing>
                  <wp:inline distT="0" distB="0" distL="0" distR="0" wp14:anchorId="40C127C5" wp14:editId="4D1F9652">
                    <wp:extent cx="1666875" cy="657225"/>
                    <wp:effectExtent l="0" t="0" r="9525" b="9525"/>
                    <wp:docPr id="4" name="Picture 4" descr="http://www.gadoe.org/Technology-Services/SLDS/PublishingImages/Fee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doe.org/Technology-Services/SLDS/PublishingImages/Feedb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r>
                <w:rPr>
                  <w:rFonts w:ascii="Calibri" w:hAnsi="Calibri"/>
                  <w:color w:val="0066CC"/>
                  <w:sz w:val="20"/>
                  <w:szCs w:val="20"/>
                  <w:u w:val="single"/>
                </w:rPr>
                <w:br/>
              </w:r>
            </w:hyperlink>
            <w:r>
              <w:rPr>
                <w:rFonts w:ascii="Minion Pro" w:hAnsi="Minion Pro"/>
                <w:b/>
                <w:bCs/>
                <w:color w:val="4A8C27"/>
                <w:sz w:val="20"/>
                <w:szCs w:val="20"/>
              </w:rPr>
              <w:t>Help us make it better</w:t>
            </w:r>
            <w:r>
              <w:rPr>
                <w:rFonts w:ascii="Calibri" w:hAnsi="Calibri"/>
                <w:b/>
                <w:bCs/>
                <w:color w:val="4A8C27"/>
                <w:sz w:val="20"/>
                <w:szCs w:val="20"/>
              </w:rPr>
              <w:t>.</w:t>
            </w:r>
          </w:p>
        </w:tc>
      </w:tr>
      <w:tr w:rsidR="007038AA" w:rsidTr="007038AA">
        <w:trPr>
          <w:trHeight w:val="600"/>
          <w:tblCellSpacing w:w="0" w:type="dxa"/>
          <w:jc w:val="center"/>
        </w:trPr>
        <w:tc>
          <w:tcPr>
            <w:tcW w:w="0" w:type="auto"/>
            <w:gridSpan w:val="4"/>
            <w:tcBorders>
              <w:top w:val="outset" w:sz="8" w:space="0" w:color="468325"/>
              <w:left w:val="outset" w:sz="8" w:space="0" w:color="468325"/>
              <w:bottom w:val="outset" w:sz="8" w:space="0" w:color="468325"/>
              <w:right w:val="outset" w:sz="8" w:space="0" w:color="468325"/>
            </w:tcBorders>
            <w:shd w:val="clear" w:color="auto" w:fill="FFFFFF"/>
            <w:tcMar>
              <w:top w:w="150" w:type="dxa"/>
              <w:left w:w="150" w:type="dxa"/>
              <w:bottom w:w="150" w:type="dxa"/>
              <w:right w:w="150" w:type="dxa"/>
            </w:tcMar>
            <w:vAlign w:val="center"/>
            <w:hideMark/>
          </w:tcPr>
          <w:p w:rsidR="007038AA" w:rsidRDefault="007038AA">
            <w:pPr>
              <w:jc w:val="center"/>
            </w:pPr>
            <w:hyperlink r:id="rId13" w:history="1">
              <w:r>
                <w:rPr>
                  <w:rStyle w:val="Hyperlink"/>
                  <w:rFonts w:ascii="Minion Pro" w:hAnsi="Minion Pro"/>
                  <w:b/>
                  <w:bCs/>
                  <w:color w:val="4A8C27"/>
                  <w:sz w:val="20"/>
                  <w:szCs w:val="20"/>
                </w:rPr>
                <w:t>Subscribe</w:t>
              </w:r>
            </w:hyperlink>
            <w:r>
              <w:rPr>
                <w:rFonts w:ascii="Minion Pro" w:hAnsi="Minion Pro"/>
                <w:b/>
                <w:bCs/>
                <w:color w:val="4A8C27"/>
                <w:sz w:val="20"/>
                <w:szCs w:val="20"/>
              </w:rPr>
              <w:t xml:space="preserve">  |  </w:t>
            </w:r>
            <w:hyperlink r:id="rId14" w:tooltip="Send an email to SLDS" w:history="1">
              <w:r>
                <w:rPr>
                  <w:rStyle w:val="Hyperlink"/>
                  <w:rFonts w:ascii="Minion Pro" w:hAnsi="Minion Pro"/>
                  <w:b/>
                  <w:bCs/>
                  <w:color w:val="4A8C27"/>
                  <w:sz w:val="20"/>
                  <w:szCs w:val="20"/>
                </w:rPr>
                <w:t>Contact SLDS</w:t>
              </w:r>
            </w:hyperlink>
            <w:r>
              <w:rPr>
                <w:rFonts w:ascii="Minion Pro" w:hAnsi="Minion Pro"/>
                <w:b/>
                <w:bCs/>
                <w:color w:val="4A8C27"/>
                <w:sz w:val="20"/>
                <w:szCs w:val="20"/>
              </w:rPr>
              <w:t xml:space="preserve">  |  </w:t>
            </w:r>
            <w:hyperlink r:id="rId15" w:tgtFrame="_blank" w:history="1">
              <w:r>
                <w:rPr>
                  <w:rStyle w:val="Hyperlink"/>
                  <w:rFonts w:ascii="Minion Pro" w:hAnsi="Minion Pro"/>
                  <w:b/>
                  <w:bCs/>
                  <w:color w:val="4A8C27"/>
                  <w:sz w:val="20"/>
                  <w:szCs w:val="20"/>
                </w:rPr>
                <w:t>Recent Updates</w:t>
              </w:r>
            </w:hyperlink>
            <w:r>
              <w:rPr>
                <w:rFonts w:ascii="Minion Pro" w:hAnsi="Minion Pro"/>
                <w:b/>
                <w:bCs/>
                <w:color w:val="4A8C27"/>
                <w:sz w:val="20"/>
                <w:szCs w:val="20"/>
              </w:rPr>
              <w:t>  |  </w:t>
            </w:r>
            <w:hyperlink r:id="rId16" w:tgtFrame="_blank" w:history="1">
              <w:r>
                <w:rPr>
                  <w:rStyle w:val="Hyperlink"/>
                  <w:rFonts w:ascii="Minion Pro" w:hAnsi="Minion Pro"/>
                  <w:b/>
                  <w:bCs/>
                  <w:color w:val="4A8C27"/>
                  <w:sz w:val="20"/>
                  <w:szCs w:val="20"/>
                </w:rPr>
                <w:t>Help &amp; Training</w:t>
              </w:r>
            </w:hyperlink>
            <w:r>
              <w:rPr>
                <w:rFonts w:ascii="Minion Pro" w:hAnsi="Minion Pro"/>
                <w:b/>
                <w:bCs/>
                <w:color w:val="4A8C27"/>
                <w:sz w:val="20"/>
                <w:szCs w:val="20"/>
              </w:rPr>
              <w:t xml:space="preserve">  |  </w:t>
            </w:r>
            <w:hyperlink r:id="rId17" w:anchor="start=invite" w:tgtFrame="_blank" w:history="1">
              <w:r>
                <w:rPr>
                  <w:rStyle w:val="Hyperlink"/>
                  <w:rFonts w:ascii="Minion Pro" w:hAnsi="Minion Pro"/>
                  <w:b/>
                  <w:bCs/>
                  <w:color w:val="4A8C27"/>
                  <w:sz w:val="20"/>
                  <w:szCs w:val="20"/>
                </w:rPr>
                <w:t>Request FREE Training</w:t>
              </w:r>
            </w:hyperlink>
            <w:r>
              <w:rPr>
                <w:rFonts w:ascii="Minion Pro" w:hAnsi="Minion Pro"/>
                <w:b/>
                <w:bCs/>
                <w:color w:val="4A8C27"/>
                <w:sz w:val="20"/>
                <w:szCs w:val="20"/>
              </w:rPr>
              <w:t xml:space="preserve"> </w:t>
            </w:r>
          </w:p>
        </w:tc>
      </w:tr>
    </w:tbl>
    <w:p w:rsidR="007038AA" w:rsidRDefault="007038AA" w:rsidP="007038AA">
      <w:pPr>
        <w:jc w:val="center"/>
        <w:rPr>
          <w:vanish/>
        </w:rPr>
      </w:pPr>
    </w:p>
    <w:tbl>
      <w:tblPr>
        <w:tblW w:w="13380" w:type="dxa"/>
        <w:jc w:val="center"/>
        <w:tblCellSpacing w:w="0" w:type="dxa"/>
        <w:tblBorders>
          <w:top w:val="outset" w:sz="12" w:space="0" w:color="468325"/>
          <w:left w:val="outset" w:sz="12" w:space="0" w:color="468325"/>
          <w:bottom w:val="outset" w:sz="12" w:space="0" w:color="468325"/>
          <w:right w:val="outset" w:sz="12" w:space="0" w:color="468325"/>
        </w:tblBorders>
        <w:shd w:val="clear" w:color="auto" w:fill="FFFFFF"/>
        <w:tblCellMar>
          <w:left w:w="0" w:type="dxa"/>
          <w:right w:w="0" w:type="dxa"/>
        </w:tblCellMar>
        <w:tblLook w:val="04A0" w:firstRow="1" w:lastRow="0" w:firstColumn="1" w:lastColumn="0" w:noHBand="0" w:noVBand="1"/>
      </w:tblPr>
      <w:tblGrid>
        <w:gridCol w:w="13380"/>
      </w:tblGrid>
      <w:tr w:rsidR="007038AA" w:rsidTr="007038AA">
        <w:trPr>
          <w:trHeight w:val="3000"/>
          <w:tblCellSpacing w:w="0" w:type="dxa"/>
          <w:jc w:val="center"/>
        </w:trPr>
        <w:tc>
          <w:tcPr>
            <w:tcW w:w="13020" w:type="dxa"/>
            <w:tcBorders>
              <w:top w:val="outset" w:sz="8" w:space="0" w:color="468325"/>
              <w:left w:val="outset" w:sz="8" w:space="0" w:color="468325"/>
              <w:bottom w:val="outset" w:sz="8" w:space="0" w:color="468325"/>
              <w:right w:val="outset" w:sz="8" w:space="0" w:color="468325"/>
            </w:tcBorders>
            <w:shd w:val="clear" w:color="auto" w:fill="FFFFFF"/>
            <w:tcMar>
              <w:top w:w="150" w:type="dxa"/>
              <w:left w:w="150" w:type="dxa"/>
              <w:bottom w:w="150" w:type="dxa"/>
              <w:right w:w="150" w:type="dxa"/>
            </w:tcMar>
            <w:vAlign w:val="center"/>
            <w:hideMark/>
          </w:tcPr>
          <w:p w:rsidR="007038AA" w:rsidRDefault="007038AA">
            <w:pPr>
              <w:pStyle w:val="NormalWeb"/>
            </w:pPr>
            <w:r>
              <w:rPr>
                <w:rFonts w:ascii="Bebas Neue" w:hAnsi="Bebas Neue"/>
                <w:b/>
                <w:bCs/>
                <w:color w:val="F26300"/>
                <w:sz w:val="36"/>
                <w:szCs w:val="36"/>
                <w:shd w:val="clear" w:color="auto" w:fill="FFFFFF"/>
              </w:rPr>
              <w:t>New Domain view for Milestones available in SLDS</w:t>
            </w:r>
            <w:r>
              <w:rPr>
                <w:rFonts w:ascii="Calibri" w:hAnsi="Calibri"/>
                <w:color w:val="DF5437"/>
                <w:sz w:val="27"/>
                <w:szCs w:val="27"/>
              </w:rPr>
              <w:br/>
            </w:r>
            <w:r>
              <w:rPr>
                <w:rFonts w:ascii="Minion Pro" w:hAnsi="Minion Pro"/>
              </w:rPr>
              <w:t xml:space="preserve">The DOE has been diligently working to display the NEW Milestones' Domain displays inside of SLDS.  Click here for more </w:t>
            </w:r>
            <w:hyperlink r:id="rId18" w:tooltip="Click here for information" w:history="1">
              <w:r>
                <w:rPr>
                  <w:rStyle w:val="Hyperlink"/>
                  <w:rFonts w:ascii="Minion Pro" w:hAnsi="Minion Pro"/>
                </w:rPr>
                <w:t>detailed information</w:t>
              </w:r>
            </w:hyperlink>
            <w:r>
              <w:rPr>
                <w:rFonts w:ascii="Minion Pro" w:hAnsi="Minion Pro"/>
              </w:rPr>
              <w:t xml:space="preserve"> regarding the NEW display. The</w:t>
            </w:r>
            <w:bookmarkStart w:id="0" w:name="_GoBack"/>
            <w:bookmarkEnd w:id="0"/>
            <w:r>
              <w:rPr>
                <w:rFonts w:ascii="Minion Pro" w:hAnsi="Minion Pro"/>
              </w:rPr>
              <w:t xml:space="preserve"> detailed information also shows the new displays found on the Student Profile page.</w:t>
            </w:r>
          </w:p>
          <w:p w:rsidR="007038AA" w:rsidRDefault="007038AA">
            <w:pPr>
              <w:pStyle w:val="NormalWeb"/>
              <w:jc w:val="center"/>
            </w:pPr>
            <w:r>
              <w:rPr>
                <w:rFonts w:ascii="Calibri" w:hAnsi="Calibri"/>
                <w:noProof/>
                <w:color w:val="DF5437"/>
                <w:sz w:val="27"/>
                <w:szCs w:val="27"/>
              </w:rPr>
              <w:lastRenderedPageBreak/>
              <w:drawing>
                <wp:inline distT="0" distB="0" distL="0" distR="0" wp14:anchorId="388FC3BB" wp14:editId="7E54BE0A">
                  <wp:extent cx="6667500" cy="3190875"/>
                  <wp:effectExtent l="0" t="0" r="0" b="9525"/>
                  <wp:docPr id="3" name="Picture 3" descr="http://www.gadoe.org/Technology-Services/SLDS/PublishingImages/Newsletter_Images/EOG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doe.org/Technology-Services/SLDS/PublishingImages/Newsletter_Images/EOG_Samp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3190875"/>
                          </a:xfrm>
                          <a:prstGeom prst="rect">
                            <a:avLst/>
                          </a:prstGeom>
                          <a:noFill/>
                          <a:ln>
                            <a:noFill/>
                          </a:ln>
                        </pic:spPr>
                      </pic:pic>
                    </a:graphicData>
                  </a:graphic>
                </wp:inline>
              </w:drawing>
            </w:r>
          </w:p>
          <w:p w:rsidR="007038AA" w:rsidRDefault="007038AA">
            <w:pPr>
              <w:pStyle w:val="NormalWeb"/>
            </w:pPr>
            <w:r>
              <w:t> </w:t>
            </w:r>
          </w:p>
          <w:p w:rsidR="007038AA" w:rsidRDefault="007038AA">
            <w:pPr>
              <w:pStyle w:val="NormalWeb"/>
            </w:pPr>
            <w:r>
              <w:rPr>
                <w:rFonts w:ascii="Minion Pro" w:hAnsi="Minion Pro"/>
              </w:rPr>
              <w:t xml:space="preserve">The below </w:t>
            </w:r>
            <w:r>
              <w:rPr>
                <w:rFonts w:ascii="Minion Pro" w:hAnsi="Minion Pro"/>
                <w:b/>
                <w:bCs/>
              </w:rPr>
              <w:t>samples</w:t>
            </w:r>
            <w:r>
              <w:rPr>
                <w:rFonts w:ascii="Minion Pro" w:hAnsi="Minion Pro"/>
              </w:rPr>
              <w:t xml:space="preserve"> from the District Level "</w:t>
            </w:r>
            <w:r>
              <w:rPr>
                <w:rFonts w:ascii="Minion Pro" w:hAnsi="Minion Pro"/>
                <w:b/>
                <w:bCs/>
              </w:rPr>
              <w:t>Operational Dashboard</w:t>
            </w:r>
            <w:r>
              <w:rPr>
                <w:rFonts w:ascii="Minion Pro" w:hAnsi="Minion Pro"/>
              </w:rPr>
              <w:t xml:space="preserve">" are also how the display works from the Teacher's Dashboard using the Statewide Classroom Performance tool. </w:t>
            </w:r>
          </w:p>
          <w:p w:rsidR="007038AA" w:rsidRDefault="007038AA">
            <w:pPr>
              <w:pStyle w:val="NormalWeb"/>
            </w:pPr>
            <w:r>
              <w:rPr>
                <w:rFonts w:ascii="Minion Pro" w:hAnsi="Minion Pro"/>
              </w:rPr>
              <w:t>"The first sample shows the NEW ELA test breakdown, which includes the ‘Reading Status’ (Below Grade Level or Grade Level or Above) based on how the student performed on the reading and vocabulary items included on the test. This is followed by the rubric scores awarded for the two writing components of the test (narrative – worth 4 points and the extended writing – worth 7 points using two rubrics)." (from Assessment &amp; Accountability)</w:t>
            </w:r>
          </w:p>
          <w:p w:rsidR="007038AA" w:rsidRDefault="007038AA">
            <w:pPr>
              <w:pStyle w:val="NormalWeb"/>
              <w:jc w:val="center"/>
            </w:pPr>
            <w:r>
              <w:rPr>
                <w:noProof/>
              </w:rPr>
              <w:lastRenderedPageBreak/>
              <w:drawing>
                <wp:inline distT="0" distB="0" distL="0" distR="0" wp14:anchorId="140B6F0F" wp14:editId="15B05BCF">
                  <wp:extent cx="6667500" cy="4638675"/>
                  <wp:effectExtent l="0" t="0" r="0" b="9525"/>
                  <wp:docPr id="2" name="Picture 2" descr="http://www.gadoe.org/Technology-Services/SLDS/PublishingImages/Newsletter_Images/EOG_ELA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doe.org/Technology-Services/SLDS/PublishingImages/Newsletter_Images/EOG_ELA_Sampl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4638675"/>
                          </a:xfrm>
                          <a:prstGeom prst="rect">
                            <a:avLst/>
                          </a:prstGeom>
                          <a:noFill/>
                          <a:ln>
                            <a:noFill/>
                          </a:ln>
                        </pic:spPr>
                      </pic:pic>
                    </a:graphicData>
                  </a:graphic>
                </wp:inline>
              </w:drawing>
            </w:r>
          </w:p>
          <w:p w:rsidR="007038AA" w:rsidRDefault="007038AA">
            <w:pPr>
              <w:pStyle w:val="NormalWeb"/>
            </w:pPr>
            <w:r>
              <w:t> </w:t>
            </w:r>
          </w:p>
          <w:p w:rsidR="007038AA" w:rsidRDefault="007038AA">
            <w:pPr>
              <w:pStyle w:val="NormalWeb"/>
            </w:pPr>
            <w:r>
              <w:rPr>
                <w:rFonts w:ascii="Minion Pro" w:hAnsi="Minion Pro"/>
              </w:rPr>
              <w:t>This second sample is showing the NEW Social Studies Domain break down.  This is the same view for Math and</w:t>
            </w:r>
            <w:proofErr w:type="gramStart"/>
            <w:r>
              <w:rPr>
                <w:rFonts w:ascii="Minion Pro" w:hAnsi="Minion Pro"/>
              </w:rPr>
              <w:t>  Science</w:t>
            </w:r>
            <w:proofErr w:type="gramEnd"/>
            <w:r>
              <w:rPr>
                <w:rFonts w:ascii="Minion Pro" w:hAnsi="Minion Pro"/>
              </w:rPr>
              <w:t>. It displays the "Mastery Category" levels of "Remediate, Monitor, and Accelerate."</w:t>
            </w:r>
            <w:r>
              <w:rPr>
                <w:rFonts w:ascii="Minion Pro" w:hAnsi="Minion Pro"/>
              </w:rPr>
              <w:br/>
            </w:r>
            <w:r>
              <w:rPr>
                <w:rFonts w:ascii="Minion Pro" w:hAnsi="Minion Pro"/>
              </w:rPr>
              <w:lastRenderedPageBreak/>
              <w:t xml:space="preserve">"The domain classification indicates whether the student would have been proficient on the overall </w:t>
            </w:r>
            <w:r>
              <w:rPr>
                <w:rFonts w:ascii="Minion Pro" w:hAnsi="Minion Pro"/>
                <w:b/>
                <w:bCs/>
              </w:rPr>
              <w:t>test</w:t>
            </w:r>
            <w:r>
              <w:rPr>
                <w:rFonts w:ascii="Minion Pro" w:hAnsi="Minion Pro"/>
              </w:rPr>
              <w:t xml:space="preserve"> if he/she performed on the overall test as he/she performed on the </w:t>
            </w:r>
            <w:r>
              <w:rPr>
                <w:rFonts w:ascii="Minion Pro" w:hAnsi="Minion Pro"/>
                <w:b/>
                <w:bCs/>
              </w:rPr>
              <w:t>items</w:t>
            </w:r>
            <w:r>
              <w:rPr>
                <w:rFonts w:ascii="Minion Pro" w:hAnsi="Minion Pro"/>
              </w:rPr>
              <w:t xml:space="preserve"> in the domain. If it is unlikely the student would have been proficient, remediation is needed. If it is possible, but equally possible the student may not have been proficient, learning should be monitored. And if it is likely the student would have been proficient, then learning should be accelerated." (from Assessment &amp; Accountability)</w:t>
            </w:r>
          </w:p>
          <w:p w:rsidR="007038AA" w:rsidRDefault="007038AA">
            <w:pPr>
              <w:pStyle w:val="NormalWeb"/>
              <w:jc w:val="center"/>
            </w:pPr>
            <w:r>
              <w:rPr>
                <w:noProof/>
              </w:rPr>
              <w:drawing>
                <wp:inline distT="0" distB="0" distL="0" distR="0" wp14:anchorId="29BEC102" wp14:editId="15FF3508">
                  <wp:extent cx="6667500" cy="3781425"/>
                  <wp:effectExtent l="0" t="0" r="0" b="9525"/>
                  <wp:docPr id="1" name="Picture 1" descr="http://www.gadoe.org/Technology-Services/SLDS/PublishingImages/Newsletter_Images/EOG_SS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doe.org/Technology-Services/SLDS/PublishingImages/Newsletter_Images/EOG_SS_Sampl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0" cy="3781425"/>
                          </a:xfrm>
                          <a:prstGeom prst="rect">
                            <a:avLst/>
                          </a:prstGeom>
                          <a:noFill/>
                          <a:ln>
                            <a:noFill/>
                          </a:ln>
                        </pic:spPr>
                      </pic:pic>
                    </a:graphicData>
                  </a:graphic>
                </wp:inline>
              </w:drawing>
            </w:r>
          </w:p>
          <w:p w:rsidR="007038AA" w:rsidRDefault="007038AA">
            <w:pPr>
              <w:pStyle w:val="NormalWeb"/>
            </w:pPr>
            <w:r>
              <w:rPr>
                <w:rFonts w:ascii="Minion Pro" w:hAnsi="Minion Pro"/>
                <w:b/>
                <w:bCs/>
              </w:rPr>
              <w:t>We anticipate the 2015 Spring &amp; Summer EOCs to be available in SLDS by February 1st.</w:t>
            </w:r>
            <w:r>
              <w:rPr>
                <w:rFonts w:ascii="Minion Pro" w:hAnsi="Minion Pro"/>
                <w:b/>
                <w:bCs/>
                <w:sz w:val="20"/>
                <w:szCs w:val="20"/>
              </w:rPr>
              <w:t xml:space="preserve"> </w:t>
            </w:r>
            <w:r>
              <w:rPr>
                <w:rFonts w:ascii="Calibri" w:hAnsi="Calibri"/>
              </w:rPr>
              <w:br/>
            </w:r>
            <w:r>
              <w:rPr>
                <w:rFonts w:ascii="Calibri" w:hAnsi="Calibri"/>
              </w:rPr>
              <w:br/>
              <w:t> </w:t>
            </w:r>
          </w:p>
        </w:tc>
      </w:tr>
    </w:tbl>
    <w:p w:rsidR="007038AA" w:rsidRDefault="007038AA" w:rsidP="007038AA">
      <w:pPr>
        <w:jc w:val="center"/>
        <w:rPr>
          <w:vanish/>
        </w:rPr>
      </w:pPr>
    </w:p>
    <w:p w:rsidR="00D12A29" w:rsidRDefault="00D12A29"/>
    <w:sectPr w:rsidR="00D12A29" w:rsidSect="007038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Bebas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AA"/>
    <w:rsid w:val="00013D09"/>
    <w:rsid w:val="00015571"/>
    <w:rsid w:val="00023AA2"/>
    <w:rsid w:val="00030AFD"/>
    <w:rsid w:val="00061B97"/>
    <w:rsid w:val="00077A62"/>
    <w:rsid w:val="00095871"/>
    <w:rsid w:val="000A1C8B"/>
    <w:rsid w:val="000A42B0"/>
    <w:rsid w:val="000B6022"/>
    <w:rsid w:val="000C65D6"/>
    <w:rsid w:val="000D13A3"/>
    <w:rsid w:val="000E7C8A"/>
    <w:rsid w:val="000F46BF"/>
    <w:rsid w:val="00100583"/>
    <w:rsid w:val="0013019F"/>
    <w:rsid w:val="00135422"/>
    <w:rsid w:val="0014450E"/>
    <w:rsid w:val="00156A4B"/>
    <w:rsid w:val="001916DA"/>
    <w:rsid w:val="001A39A3"/>
    <w:rsid w:val="001B63B2"/>
    <w:rsid w:val="001C3F53"/>
    <w:rsid w:val="001E2FDB"/>
    <w:rsid w:val="001E4203"/>
    <w:rsid w:val="001F46E3"/>
    <w:rsid w:val="00200D30"/>
    <w:rsid w:val="00202FE5"/>
    <w:rsid w:val="0020692F"/>
    <w:rsid w:val="00230473"/>
    <w:rsid w:val="00230FB2"/>
    <w:rsid w:val="00235259"/>
    <w:rsid w:val="00246C7D"/>
    <w:rsid w:val="002505D8"/>
    <w:rsid w:val="00256187"/>
    <w:rsid w:val="00257828"/>
    <w:rsid w:val="00261C2B"/>
    <w:rsid w:val="00292D54"/>
    <w:rsid w:val="002B2FE7"/>
    <w:rsid w:val="002B3A5E"/>
    <w:rsid w:val="002C43D8"/>
    <w:rsid w:val="002D72BA"/>
    <w:rsid w:val="002E0900"/>
    <w:rsid w:val="002E09CC"/>
    <w:rsid w:val="002E10B5"/>
    <w:rsid w:val="002F066A"/>
    <w:rsid w:val="002F724A"/>
    <w:rsid w:val="0030471A"/>
    <w:rsid w:val="00317C41"/>
    <w:rsid w:val="00325425"/>
    <w:rsid w:val="0033436E"/>
    <w:rsid w:val="00344FEA"/>
    <w:rsid w:val="00350813"/>
    <w:rsid w:val="003531F5"/>
    <w:rsid w:val="00364799"/>
    <w:rsid w:val="00382446"/>
    <w:rsid w:val="00392B99"/>
    <w:rsid w:val="00397846"/>
    <w:rsid w:val="003A3EAD"/>
    <w:rsid w:val="003D13E3"/>
    <w:rsid w:val="003D1DA0"/>
    <w:rsid w:val="003D5641"/>
    <w:rsid w:val="003D5E9B"/>
    <w:rsid w:val="003F09DE"/>
    <w:rsid w:val="003F4B56"/>
    <w:rsid w:val="004037E8"/>
    <w:rsid w:val="00415D9E"/>
    <w:rsid w:val="0041717C"/>
    <w:rsid w:val="00422D67"/>
    <w:rsid w:val="00424D7D"/>
    <w:rsid w:val="00443DC3"/>
    <w:rsid w:val="0045062C"/>
    <w:rsid w:val="00451B3F"/>
    <w:rsid w:val="0046696C"/>
    <w:rsid w:val="00467086"/>
    <w:rsid w:val="00471E57"/>
    <w:rsid w:val="00477276"/>
    <w:rsid w:val="00497D48"/>
    <w:rsid w:val="004B026A"/>
    <w:rsid w:val="004D3CEF"/>
    <w:rsid w:val="00504628"/>
    <w:rsid w:val="00514AC6"/>
    <w:rsid w:val="00525376"/>
    <w:rsid w:val="00534DF5"/>
    <w:rsid w:val="00547C0A"/>
    <w:rsid w:val="0057784A"/>
    <w:rsid w:val="00587591"/>
    <w:rsid w:val="00593A99"/>
    <w:rsid w:val="005962E8"/>
    <w:rsid w:val="005B0AAE"/>
    <w:rsid w:val="005C4295"/>
    <w:rsid w:val="005C6ACB"/>
    <w:rsid w:val="005D02C0"/>
    <w:rsid w:val="005D0832"/>
    <w:rsid w:val="005E2137"/>
    <w:rsid w:val="005F3CBA"/>
    <w:rsid w:val="00601FCE"/>
    <w:rsid w:val="00653023"/>
    <w:rsid w:val="00656D01"/>
    <w:rsid w:val="00671ED0"/>
    <w:rsid w:val="006811B0"/>
    <w:rsid w:val="006B0EAC"/>
    <w:rsid w:val="006B41A9"/>
    <w:rsid w:val="006D2792"/>
    <w:rsid w:val="006D5984"/>
    <w:rsid w:val="006D7136"/>
    <w:rsid w:val="006E441F"/>
    <w:rsid w:val="006E4CC8"/>
    <w:rsid w:val="006E7A22"/>
    <w:rsid w:val="006F6D32"/>
    <w:rsid w:val="006F70B9"/>
    <w:rsid w:val="006F77E2"/>
    <w:rsid w:val="00701138"/>
    <w:rsid w:val="007038AA"/>
    <w:rsid w:val="007105A1"/>
    <w:rsid w:val="0073366D"/>
    <w:rsid w:val="00736A14"/>
    <w:rsid w:val="00752A1B"/>
    <w:rsid w:val="0075706B"/>
    <w:rsid w:val="007575DF"/>
    <w:rsid w:val="007760A7"/>
    <w:rsid w:val="00777284"/>
    <w:rsid w:val="00777EF0"/>
    <w:rsid w:val="00783385"/>
    <w:rsid w:val="007917E0"/>
    <w:rsid w:val="007B6C91"/>
    <w:rsid w:val="007F5B4B"/>
    <w:rsid w:val="007F5F1A"/>
    <w:rsid w:val="00823F30"/>
    <w:rsid w:val="0085080B"/>
    <w:rsid w:val="00862879"/>
    <w:rsid w:val="0087253C"/>
    <w:rsid w:val="00882DFE"/>
    <w:rsid w:val="008A0FD6"/>
    <w:rsid w:val="008A1623"/>
    <w:rsid w:val="008A67C9"/>
    <w:rsid w:val="008B0209"/>
    <w:rsid w:val="008B7A8A"/>
    <w:rsid w:val="008C2B5A"/>
    <w:rsid w:val="008C5A53"/>
    <w:rsid w:val="008D2C68"/>
    <w:rsid w:val="008D3C05"/>
    <w:rsid w:val="0090528A"/>
    <w:rsid w:val="00936FBB"/>
    <w:rsid w:val="009408D9"/>
    <w:rsid w:val="0094204C"/>
    <w:rsid w:val="009432AB"/>
    <w:rsid w:val="00963AC3"/>
    <w:rsid w:val="00963C5D"/>
    <w:rsid w:val="00965E9A"/>
    <w:rsid w:val="00981370"/>
    <w:rsid w:val="00984804"/>
    <w:rsid w:val="00986E81"/>
    <w:rsid w:val="009A04C8"/>
    <w:rsid w:val="009A1E81"/>
    <w:rsid w:val="009B7C4A"/>
    <w:rsid w:val="009D5E9E"/>
    <w:rsid w:val="009D6744"/>
    <w:rsid w:val="009E5BC1"/>
    <w:rsid w:val="009E6EB1"/>
    <w:rsid w:val="009E77E4"/>
    <w:rsid w:val="009E79DC"/>
    <w:rsid w:val="009F74AA"/>
    <w:rsid w:val="00A00A61"/>
    <w:rsid w:val="00A1659B"/>
    <w:rsid w:val="00A24C13"/>
    <w:rsid w:val="00A26944"/>
    <w:rsid w:val="00A3177B"/>
    <w:rsid w:val="00A33FC7"/>
    <w:rsid w:val="00A43F50"/>
    <w:rsid w:val="00A44A9B"/>
    <w:rsid w:val="00A72FAD"/>
    <w:rsid w:val="00A82E30"/>
    <w:rsid w:val="00A90324"/>
    <w:rsid w:val="00AB40E3"/>
    <w:rsid w:val="00AB71BF"/>
    <w:rsid w:val="00AC26D4"/>
    <w:rsid w:val="00AF0DED"/>
    <w:rsid w:val="00B02416"/>
    <w:rsid w:val="00B24C7C"/>
    <w:rsid w:val="00B57826"/>
    <w:rsid w:val="00B601D9"/>
    <w:rsid w:val="00B8685C"/>
    <w:rsid w:val="00BA4FB7"/>
    <w:rsid w:val="00BA5070"/>
    <w:rsid w:val="00BB2C4F"/>
    <w:rsid w:val="00BB7AC0"/>
    <w:rsid w:val="00BD0E89"/>
    <w:rsid w:val="00BE4ED3"/>
    <w:rsid w:val="00BE553C"/>
    <w:rsid w:val="00BE7339"/>
    <w:rsid w:val="00C05B8E"/>
    <w:rsid w:val="00C11951"/>
    <w:rsid w:val="00C20E6D"/>
    <w:rsid w:val="00C24C14"/>
    <w:rsid w:val="00C32E9B"/>
    <w:rsid w:val="00C36218"/>
    <w:rsid w:val="00C47ED5"/>
    <w:rsid w:val="00C5128D"/>
    <w:rsid w:val="00C54263"/>
    <w:rsid w:val="00C645F9"/>
    <w:rsid w:val="00C6734B"/>
    <w:rsid w:val="00C674CA"/>
    <w:rsid w:val="00C81035"/>
    <w:rsid w:val="00C853C4"/>
    <w:rsid w:val="00CB0D82"/>
    <w:rsid w:val="00CB11F3"/>
    <w:rsid w:val="00CB1361"/>
    <w:rsid w:val="00CC151C"/>
    <w:rsid w:val="00CD3ABC"/>
    <w:rsid w:val="00CE066A"/>
    <w:rsid w:val="00D02C70"/>
    <w:rsid w:val="00D053A9"/>
    <w:rsid w:val="00D12A29"/>
    <w:rsid w:val="00D17E25"/>
    <w:rsid w:val="00D20086"/>
    <w:rsid w:val="00D25653"/>
    <w:rsid w:val="00D331E2"/>
    <w:rsid w:val="00D33E41"/>
    <w:rsid w:val="00D43072"/>
    <w:rsid w:val="00D5142D"/>
    <w:rsid w:val="00D57242"/>
    <w:rsid w:val="00D57A0C"/>
    <w:rsid w:val="00D631C9"/>
    <w:rsid w:val="00D66FE2"/>
    <w:rsid w:val="00D67098"/>
    <w:rsid w:val="00D87F7F"/>
    <w:rsid w:val="00DA1F53"/>
    <w:rsid w:val="00DB13FC"/>
    <w:rsid w:val="00DB6A94"/>
    <w:rsid w:val="00DC56A8"/>
    <w:rsid w:val="00DC7CD6"/>
    <w:rsid w:val="00DD1F95"/>
    <w:rsid w:val="00E13FBF"/>
    <w:rsid w:val="00E16774"/>
    <w:rsid w:val="00E21EE4"/>
    <w:rsid w:val="00E433BE"/>
    <w:rsid w:val="00E72947"/>
    <w:rsid w:val="00E74D8D"/>
    <w:rsid w:val="00E80930"/>
    <w:rsid w:val="00EA1288"/>
    <w:rsid w:val="00EB1D26"/>
    <w:rsid w:val="00EB33B0"/>
    <w:rsid w:val="00EB44DA"/>
    <w:rsid w:val="00EC347A"/>
    <w:rsid w:val="00ED535A"/>
    <w:rsid w:val="00EF101C"/>
    <w:rsid w:val="00F00AB3"/>
    <w:rsid w:val="00F02F79"/>
    <w:rsid w:val="00F03B56"/>
    <w:rsid w:val="00F1020F"/>
    <w:rsid w:val="00F12F55"/>
    <w:rsid w:val="00F43198"/>
    <w:rsid w:val="00F46EA5"/>
    <w:rsid w:val="00F47312"/>
    <w:rsid w:val="00F50BDB"/>
    <w:rsid w:val="00F61917"/>
    <w:rsid w:val="00F84A7B"/>
    <w:rsid w:val="00F86B49"/>
    <w:rsid w:val="00F90AF9"/>
    <w:rsid w:val="00F94322"/>
    <w:rsid w:val="00F95EDB"/>
    <w:rsid w:val="00F97761"/>
    <w:rsid w:val="00FB03F9"/>
    <w:rsid w:val="00FC0F71"/>
    <w:rsid w:val="00FC2929"/>
    <w:rsid w:val="00FD64CE"/>
    <w:rsid w:val="00FE1064"/>
    <w:rsid w:val="00FE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8AA"/>
    <w:rPr>
      <w:color w:val="0066CC"/>
      <w:u w:val="single"/>
    </w:rPr>
  </w:style>
  <w:style w:type="paragraph" w:styleId="NormalWeb">
    <w:name w:val="Normal (Web)"/>
    <w:basedOn w:val="Normal"/>
    <w:uiPriority w:val="99"/>
    <w:unhideWhenUsed/>
    <w:rsid w:val="007038AA"/>
    <w:pPr>
      <w:spacing w:before="100" w:beforeAutospacing="1" w:after="100" w:afterAutospacing="1"/>
    </w:pPr>
  </w:style>
  <w:style w:type="paragraph" w:styleId="BalloonText">
    <w:name w:val="Balloon Text"/>
    <w:basedOn w:val="Normal"/>
    <w:link w:val="BalloonTextChar"/>
    <w:uiPriority w:val="99"/>
    <w:semiHidden/>
    <w:unhideWhenUsed/>
    <w:rsid w:val="007038AA"/>
    <w:rPr>
      <w:rFonts w:ascii="Tahoma" w:hAnsi="Tahoma" w:cs="Tahoma"/>
      <w:sz w:val="16"/>
      <w:szCs w:val="16"/>
    </w:rPr>
  </w:style>
  <w:style w:type="character" w:customStyle="1" w:styleId="BalloonTextChar">
    <w:name w:val="Balloon Text Char"/>
    <w:basedOn w:val="DefaultParagraphFont"/>
    <w:link w:val="BalloonText"/>
    <w:uiPriority w:val="99"/>
    <w:semiHidden/>
    <w:rsid w:val="0070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8AA"/>
    <w:rPr>
      <w:color w:val="0066CC"/>
      <w:u w:val="single"/>
    </w:rPr>
  </w:style>
  <w:style w:type="paragraph" w:styleId="NormalWeb">
    <w:name w:val="Normal (Web)"/>
    <w:basedOn w:val="Normal"/>
    <w:uiPriority w:val="99"/>
    <w:unhideWhenUsed/>
    <w:rsid w:val="007038AA"/>
    <w:pPr>
      <w:spacing w:before="100" w:beforeAutospacing="1" w:after="100" w:afterAutospacing="1"/>
    </w:pPr>
  </w:style>
  <w:style w:type="paragraph" w:styleId="BalloonText">
    <w:name w:val="Balloon Text"/>
    <w:basedOn w:val="Normal"/>
    <w:link w:val="BalloonTextChar"/>
    <w:uiPriority w:val="99"/>
    <w:semiHidden/>
    <w:unhideWhenUsed/>
    <w:rsid w:val="007038AA"/>
    <w:rPr>
      <w:rFonts w:ascii="Tahoma" w:hAnsi="Tahoma" w:cs="Tahoma"/>
      <w:sz w:val="16"/>
      <w:szCs w:val="16"/>
    </w:rPr>
  </w:style>
  <w:style w:type="character" w:customStyle="1" w:styleId="BalloonTextChar">
    <w:name w:val="Balloon Text Char"/>
    <w:basedOn w:val="DefaultParagraphFont"/>
    <w:link w:val="BalloonText"/>
    <w:uiPriority w:val="99"/>
    <w:semiHidden/>
    <w:rsid w:val="0070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oin-slds@list.doe.k12.ga.us?subject=Response%20from%20Newsletter" TargetMode="External"/><Relationship Id="rId18" Type="http://schemas.openxmlformats.org/officeDocument/2006/relationships/hyperlink" Target="http://www.gadoe.org/Technology-Services/SLDS/Documents/Newsletters/MilestonesReport_LDS.pdf"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facebook.com/GeorgiaSLDS/" TargetMode="External"/><Relationship Id="rId12" Type="http://schemas.openxmlformats.org/officeDocument/2006/relationships/image" Target="media/image5.jpeg"/><Relationship Id="rId17" Type="http://schemas.openxmlformats.org/officeDocument/2006/relationships/hyperlink" Target="https://docs.google.com/forms/d/1-Rn0CQPmUY83-mAfEXmIx66sS06k42nABhC82PXSeQs/viewform" TargetMode="External"/><Relationship Id="rId2" Type="http://schemas.microsoft.com/office/2007/relationships/stylesWithEffects" Target="stylesWithEffects.xml"/><Relationship Id="rId16" Type="http://schemas.openxmlformats.org/officeDocument/2006/relationships/hyperlink" Target="http://www.gadoe.org/Technology-Services/SLDS/Pages/Contact-and-Connect.aspx"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ocs.google.com/forms/d/1EdYVmEDh9ZflwZdcEP55JRaJMxahvM4bE-43_cFZV68/viewform?usp=send_form" TargetMode="External"/><Relationship Id="rId5" Type="http://schemas.openxmlformats.org/officeDocument/2006/relationships/image" Target="media/image1.jpeg"/><Relationship Id="rId15" Type="http://schemas.openxmlformats.org/officeDocument/2006/relationships/hyperlink" Target="http://www.gadoe.org/Technology-Services/SLDS/Pages/Updates.aspx"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twitter.com/GeorgiaSLDS/" TargetMode="External"/><Relationship Id="rId14" Type="http://schemas.openxmlformats.org/officeDocument/2006/relationships/hyperlink" Target="mailto:SLDS@doe.k12.ga.us?subject=Response%20from%20Newslet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ford</dc:creator>
  <cp:lastModifiedBy>dana ford</cp:lastModifiedBy>
  <cp:revision>1</cp:revision>
  <dcterms:created xsi:type="dcterms:W3CDTF">2016-01-19T14:05:00Z</dcterms:created>
  <dcterms:modified xsi:type="dcterms:W3CDTF">2016-01-19T14:07:00Z</dcterms:modified>
</cp:coreProperties>
</file>